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bCs/>
          <w:kern w:val="2"/>
          <w:sz w:val="32"/>
          <w:szCs w:val="28"/>
          <w:lang w:val="en-US" w:eastAsia="zh-CN" w:bidi="ar-SA"/>
        </w:rPr>
      </w:pPr>
      <w:r>
        <w:rPr>
          <w:rFonts w:hint="eastAsia" w:ascii="Times New Roman" w:hAnsi="Times New Roman" w:eastAsia="仿宋_GB2312" w:cs="Times New Roman"/>
          <w:b/>
          <w:bCs/>
          <w:kern w:val="2"/>
          <w:sz w:val="32"/>
          <w:szCs w:val="28"/>
          <w:lang w:val="en-US" w:eastAsia="zh-CN" w:bidi="ar-SA"/>
        </w:rPr>
        <w:t>附件：“十五五”发展规划课题拟立项名单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p>
    <w:tbl>
      <w:tblPr>
        <w:tblStyle w:val="2"/>
        <w:tblpPr w:leftFromText="180" w:rightFromText="180" w:vertAnchor="page" w:horzAnchor="page" w:tblpX="1740" w:tblpY="2544"/>
        <w:tblOverlap w:val="never"/>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4531"/>
        <w:gridCol w:w="1053"/>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3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课题名称</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责任人</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31"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关于江汉大学“十五五”党的建设专项规划的专题研究</w:t>
            </w:r>
          </w:p>
        </w:tc>
        <w:tc>
          <w:tcPr>
            <w:tcW w:w="1053"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程  煊</w:t>
            </w:r>
          </w:p>
        </w:tc>
        <w:tc>
          <w:tcPr>
            <w:tcW w:w="1851"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文化赋能——高水平城市大学校园文化建设体系构建与实践路径研究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范雄飞</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江汉大学“十五五”时期人才强校路径研究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邓  锐</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智能重塑与实践赋能：人才智能时代江汉大学工程人才培养体系创新研究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漆为民</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数据驱动型数字化校园建设模式研究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  铭</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网络与数字化建设办公室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江汉大学高水平城市大学建设现状、机遇、挑战及优化路径研究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林  敏</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教学督导与评估中心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新质生产力背景下以高质量就业为导向的育人路径研究——以某高校新工科学院为例</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  磊</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江汉大学“十五五”时期绿色校园植物景观优化策略与空间育人体系构建研究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蔡婵娟</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城市大学定位下江汉大学新农科特色化发展与学科交叉创新路径研究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戴希刚</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基于智慧物联与安全文化融合的江汉大学实验室治理体系创新路径研究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袁发浒</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借鉴STEM教育兴文科数智素养的学科发展研究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徐燕雯</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医教协同背景下的医学部“院院合一”路径研究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黄颖斌</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医学部</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5916"/>
    <w:rsid w:val="280917D6"/>
    <w:rsid w:val="2C1F63BD"/>
    <w:rsid w:val="4D1D7FF0"/>
    <w:rsid w:val="6C04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2025-04-15T02:28:00Z</dcterms:created>
  <dc:creator>Wang</dc:creator>
  <cp:lastModifiedBy>Wang</cp:lastModifiedBy>
  <dcterms:modified xsi:type="dcterms:W3CDTF">2025-07-13T01:20:19Z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10113FB90B6049518FFAF129BD73C6A6</vt:lpwstr>
  </property>
</Properties>
</file>